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3CC710" w14:textId="77777777" w:rsidR="00B46C54" w:rsidRDefault="00B46C54">
      <w:pPr>
        <w:spacing w:line="384" w:lineRule="auto"/>
        <w:rPr>
          <w:rFonts w:ascii="Cambria" w:eastAsia="Cambria" w:hAnsi="Cambria" w:cs="Cambria"/>
          <w:sz w:val="22"/>
          <w:szCs w:val="22"/>
        </w:rPr>
      </w:pPr>
    </w:p>
    <w:p w14:paraId="16AD93B8" w14:textId="77777777" w:rsidR="00B46C54" w:rsidRDefault="00000000">
      <w:pPr>
        <w:spacing w:line="384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A TANTÁRGY ADATLAPJA </w:t>
      </w:r>
    </w:p>
    <w:p w14:paraId="1C08CAB2" w14:textId="77777777" w:rsidR="00B46C54" w:rsidRDefault="00000000">
      <w:pPr>
        <w:spacing w:line="384" w:lineRule="auto"/>
        <w:jc w:val="center"/>
        <w:rPr>
          <w:rFonts w:ascii="Cambria" w:eastAsia="Cambria" w:hAnsi="Cambria" w:cs="Cambria"/>
          <w:i/>
          <w:iCs/>
        </w:rPr>
      </w:pPr>
      <w:proofErr w:type="spellStart"/>
      <w:r>
        <w:rPr>
          <w:rFonts w:ascii="Cambria" w:eastAsia="Cambria" w:hAnsi="Cambria" w:cs="Cambria"/>
          <w:i/>
          <w:iCs/>
        </w:rPr>
        <w:t>Teatrológia</w:t>
      </w:r>
      <w:proofErr w:type="spellEnd"/>
      <w:r>
        <w:rPr>
          <w:rFonts w:ascii="Cambria" w:eastAsia="Cambria" w:hAnsi="Cambria" w:cs="Cambria"/>
          <w:i/>
          <w:iCs/>
        </w:rPr>
        <w:t xml:space="preserve"> (5) – XX-XXI. századi színházelméletek</w:t>
      </w:r>
    </w:p>
    <w:p w14:paraId="1854C1C5" w14:textId="77777777" w:rsidR="00B46C54" w:rsidRDefault="00000000">
      <w:pPr>
        <w:spacing w:line="384" w:lineRule="auto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Egyetemi tanév 2025/2026</w:t>
      </w:r>
    </w:p>
    <w:p w14:paraId="069A5167" w14:textId="77777777" w:rsidR="00B46C54" w:rsidRDefault="00B46C54">
      <w:pPr>
        <w:spacing w:after="0" w:line="240" w:lineRule="auto"/>
        <w:rPr>
          <w:rFonts w:ascii="Cambria" w:eastAsia="Cambria" w:hAnsi="Cambria" w:cs="Cambria"/>
          <w:color w:val="FF0000"/>
          <w:sz w:val="22"/>
          <w:szCs w:val="22"/>
        </w:rPr>
      </w:pPr>
    </w:p>
    <w:p w14:paraId="69317DAF" w14:textId="77777777" w:rsidR="00B46C54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1. A képzési program adatai</w:t>
      </w:r>
    </w:p>
    <w:tbl>
      <w:tblPr>
        <w:tblStyle w:val="a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B46C54" w14:paraId="50DED1CD" w14:textId="77777777">
        <w:trPr>
          <w:trHeight w:val="284"/>
        </w:trPr>
        <w:tc>
          <w:tcPr>
            <w:tcW w:w="3545" w:type="dxa"/>
            <w:vAlign w:val="center"/>
          </w:tcPr>
          <w:p w14:paraId="2AAF954B" w14:textId="77777777" w:rsidR="00B46C54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1.1. Felsőoktatási intézmény</w:t>
            </w:r>
          </w:p>
        </w:tc>
        <w:tc>
          <w:tcPr>
            <w:tcW w:w="6946" w:type="dxa"/>
            <w:vAlign w:val="center"/>
          </w:tcPr>
          <w:p w14:paraId="2CFF153F" w14:textId="77777777" w:rsidR="00B46C54" w:rsidRDefault="00000000">
            <w:pPr>
              <w:keepNext/>
              <w:spacing w:after="0" w:line="240" w:lineRule="auto"/>
              <w:ind w:left="90" w:right="-625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Babeş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-Bolyai Tudományegyetem, Kolozsvár </w:t>
            </w:r>
          </w:p>
        </w:tc>
      </w:tr>
      <w:tr w:rsidR="00B46C54" w14:paraId="1FDAC014" w14:textId="77777777">
        <w:trPr>
          <w:trHeight w:val="284"/>
        </w:trPr>
        <w:tc>
          <w:tcPr>
            <w:tcW w:w="3545" w:type="dxa"/>
            <w:vAlign w:val="center"/>
          </w:tcPr>
          <w:p w14:paraId="0F237CFE" w14:textId="77777777" w:rsidR="00B46C54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1.2. Kar</w:t>
            </w:r>
          </w:p>
        </w:tc>
        <w:tc>
          <w:tcPr>
            <w:tcW w:w="6946" w:type="dxa"/>
            <w:vAlign w:val="center"/>
          </w:tcPr>
          <w:p w14:paraId="5F7ED5BE" w14:textId="77777777" w:rsidR="00B46C54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Film Kar</w:t>
            </w:r>
          </w:p>
        </w:tc>
      </w:tr>
      <w:tr w:rsidR="00B46C54" w14:paraId="06B577F9" w14:textId="77777777">
        <w:trPr>
          <w:trHeight w:val="284"/>
        </w:trPr>
        <w:tc>
          <w:tcPr>
            <w:tcW w:w="3545" w:type="dxa"/>
            <w:vAlign w:val="center"/>
          </w:tcPr>
          <w:p w14:paraId="260781E1" w14:textId="77777777" w:rsidR="00B46C54" w:rsidRDefault="00000000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1.3. Intézet</w:t>
            </w:r>
          </w:p>
        </w:tc>
        <w:tc>
          <w:tcPr>
            <w:tcW w:w="6946" w:type="dxa"/>
            <w:vAlign w:val="center"/>
          </w:tcPr>
          <w:p w14:paraId="090E5A93" w14:textId="77777777" w:rsidR="00B46C54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Magyar Színházi Intézet</w:t>
            </w:r>
          </w:p>
        </w:tc>
      </w:tr>
      <w:tr w:rsidR="00B46C54" w14:paraId="66598214" w14:textId="77777777">
        <w:trPr>
          <w:trHeight w:val="284"/>
        </w:trPr>
        <w:tc>
          <w:tcPr>
            <w:tcW w:w="3545" w:type="dxa"/>
            <w:vAlign w:val="center"/>
          </w:tcPr>
          <w:p w14:paraId="7AC83244" w14:textId="77777777" w:rsidR="00B46C54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1.4.</w:t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Szakterület</w:t>
            </w:r>
          </w:p>
        </w:tc>
        <w:tc>
          <w:tcPr>
            <w:tcW w:w="6946" w:type="dxa"/>
            <w:vAlign w:val="center"/>
          </w:tcPr>
          <w:p w14:paraId="6D3D5E5A" w14:textId="77777777" w:rsidR="00B46C54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előadóművészetek</w:t>
            </w:r>
          </w:p>
        </w:tc>
      </w:tr>
      <w:tr w:rsidR="00B46C54" w14:paraId="32784B2C" w14:textId="77777777">
        <w:trPr>
          <w:trHeight w:val="49"/>
        </w:trPr>
        <w:tc>
          <w:tcPr>
            <w:tcW w:w="3545" w:type="dxa"/>
            <w:vAlign w:val="center"/>
          </w:tcPr>
          <w:p w14:paraId="12E01BF3" w14:textId="77777777" w:rsidR="00B46C54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1.5.</w:t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Képzési szint</w:t>
            </w:r>
          </w:p>
        </w:tc>
        <w:tc>
          <w:tcPr>
            <w:tcW w:w="6946" w:type="dxa"/>
            <w:vAlign w:val="center"/>
          </w:tcPr>
          <w:p w14:paraId="3A9CF538" w14:textId="77777777" w:rsidR="00B46C54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Egyetemi alapképzés</w:t>
            </w:r>
          </w:p>
        </w:tc>
      </w:tr>
      <w:tr w:rsidR="00B46C54" w14:paraId="1B524FF7" w14:textId="77777777">
        <w:trPr>
          <w:trHeight w:val="284"/>
        </w:trPr>
        <w:tc>
          <w:tcPr>
            <w:tcW w:w="3545" w:type="dxa"/>
            <w:vAlign w:val="center"/>
          </w:tcPr>
          <w:p w14:paraId="4BE8AB0E" w14:textId="77777777" w:rsidR="00B46C54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1.6. Tanulmányi program / Képesítés</w:t>
            </w:r>
          </w:p>
        </w:tc>
        <w:tc>
          <w:tcPr>
            <w:tcW w:w="6946" w:type="dxa"/>
            <w:vAlign w:val="center"/>
          </w:tcPr>
          <w:p w14:paraId="37F70A48" w14:textId="77777777" w:rsidR="00B46C54" w:rsidRDefault="00000000">
            <w:pPr>
              <w:keepNext/>
              <w:spacing w:after="0" w:line="240" w:lineRule="auto"/>
              <w:ind w:left="90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Színháztudomány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–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 színházi újságírás</w:t>
            </w:r>
          </w:p>
        </w:tc>
      </w:tr>
      <w:tr w:rsidR="00B46C54" w14:paraId="014A7C8D" w14:textId="77777777">
        <w:trPr>
          <w:trHeight w:val="284"/>
        </w:trPr>
        <w:tc>
          <w:tcPr>
            <w:tcW w:w="3545" w:type="dxa"/>
            <w:vAlign w:val="center"/>
          </w:tcPr>
          <w:p w14:paraId="3FD2681C" w14:textId="77777777" w:rsidR="00B46C54" w:rsidRDefault="00000000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1.7. Képzési forma</w:t>
            </w:r>
          </w:p>
        </w:tc>
        <w:tc>
          <w:tcPr>
            <w:tcW w:w="6946" w:type="dxa"/>
            <w:vAlign w:val="center"/>
          </w:tcPr>
          <w:p w14:paraId="05F0C88D" w14:textId="77777777" w:rsidR="00B46C54" w:rsidRDefault="0000000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 Nappali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tagozatos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képzés</w:t>
            </w:r>
          </w:p>
        </w:tc>
      </w:tr>
    </w:tbl>
    <w:p w14:paraId="2198F0F6" w14:textId="77777777" w:rsidR="00B46C54" w:rsidRDefault="00B46C54">
      <w:pPr>
        <w:spacing w:after="0"/>
        <w:rPr>
          <w:rFonts w:ascii="Cambria" w:eastAsia="Cambria" w:hAnsi="Cambria" w:cs="Cambria"/>
          <w:b/>
          <w:bCs/>
          <w:sz w:val="20"/>
          <w:szCs w:val="20"/>
        </w:rPr>
      </w:pPr>
    </w:p>
    <w:p w14:paraId="0360C8A4" w14:textId="77777777" w:rsidR="00B46C54" w:rsidRDefault="00000000">
      <w:pPr>
        <w:spacing w:after="0" w:line="240" w:lineRule="auto"/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2. A tantárgy adatai</w:t>
      </w:r>
    </w:p>
    <w:tbl>
      <w:tblPr>
        <w:tblStyle w:val="a0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B46C54" w14:paraId="5957FE73" w14:textId="77777777">
        <w:trPr>
          <w:trHeight w:val="284"/>
        </w:trPr>
        <w:tc>
          <w:tcPr>
            <w:tcW w:w="2151" w:type="dxa"/>
            <w:gridSpan w:val="2"/>
            <w:vAlign w:val="center"/>
          </w:tcPr>
          <w:p w14:paraId="32FDEE3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2.1. A tantárgy neve</w:t>
            </w:r>
          </w:p>
        </w:tc>
        <w:tc>
          <w:tcPr>
            <w:tcW w:w="4962" w:type="dxa"/>
            <w:gridSpan w:val="5"/>
            <w:vAlign w:val="center"/>
          </w:tcPr>
          <w:p w14:paraId="52A7AF3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Teatrológia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(5) –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XX-XXI. századi színházelméletek</w:t>
            </w:r>
          </w:p>
        </w:tc>
        <w:tc>
          <w:tcPr>
            <w:tcW w:w="1701" w:type="dxa"/>
            <w:vAlign w:val="center"/>
          </w:tcPr>
          <w:p w14:paraId="05FAD32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kódja</w:t>
            </w:r>
          </w:p>
        </w:tc>
        <w:tc>
          <w:tcPr>
            <w:tcW w:w="1701" w:type="dxa"/>
            <w:gridSpan w:val="2"/>
            <w:vAlign w:val="center"/>
          </w:tcPr>
          <w:p w14:paraId="02823C8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VLM5702</w:t>
            </w:r>
          </w:p>
        </w:tc>
      </w:tr>
      <w:tr w:rsidR="00B46C54" w14:paraId="0B77E38E" w14:textId="77777777">
        <w:trPr>
          <w:trHeight w:val="284"/>
        </w:trPr>
        <w:tc>
          <w:tcPr>
            <w:tcW w:w="3711" w:type="dxa"/>
            <w:gridSpan w:val="4"/>
            <w:vAlign w:val="center"/>
          </w:tcPr>
          <w:p w14:paraId="1FC9569A" w14:textId="77777777" w:rsidR="00B46C54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2.2. Az előadásért felelős tanár neve</w:t>
            </w:r>
          </w:p>
        </w:tc>
        <w:tc>
          <w:tcPr>
            <w:tcW w:w="6804" w:type="dxa"/>
            <w:gridSpan w:val="6"/>
            <w:vAlign w:val="center"/>
          </w:tcPr>
          <w:p w14:paraId="0A0C0DBE" w14:textId="2FFE7D7E" w:rsidR="00B46C54" w:rsidRDefault="001C286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Dr. </w:t>
            </w:r>
            <w:r w:rsidR="00000000">
              <w:rPr>
                <w:rFonts w:ascii="Cambria" w:eastAsia="Cambria" w:hAnsi="Cambria" w:cs="Cambria"/>
                <w:sz w:val="20"/>
                <w:szCs w:val="20"/>
              </w:rPr>
              <w:t>Demeter Katalin</w:t>
            </w:r>
          </w:p>
        </w:tc>
      </w:tr>
      <w:tr w:rsidR="00B46C54" w14:paraId="0D9091D5" w14:textId="77777777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/>
            </w:tcBorders>
            <w:vAlign w:val="center"/>
          </w:tcPr>
          <w:p w14:paraId="1161748A" w14:textId="77777777" w:rsidR="00B46C54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2.3. A szemináriumért felelős tanár neve</w:t>
            </w:r>
          </w:p>
        </w:tc>
        <w:tc>
          <w:tcPr>
            <w:tcW w:w="6804" w:type="dxa"/>
            <w:gridSpan w:val="6"/>
            <w:tcBorders>
              <w:bottom w:val="single" w:sz="4" w:space="0" w:color="000000"/>
            </w:tcBorders>
            <w:vAlign w:val="center"/>
          </w:tcPr>
          <w:p w14:paraId="62C07D37" w14:textId="312BA128" w:rsidR="00B46C54" w:rsidRDefault="001C286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Dr. </w:t>
            </w:r>
            <w:r w:rsidR="00000000">
              <w:rPr>
                <w:rFonts w:ascii="Cambria" w:eastAsia="Cambria" w:hAnsi="Cambria" w:cs="Cambria"/>
                <w:sz w:val="20"/>
                <w:szCs w:val="20"/>
              </w:rPr>
              <w:t>Demeter Katalin</w:t>
            </w:r>
          </w:p>
        </w:tc>
      </w:tr>
      <w:tr w:rsidR="00B46C54" w14:paraId="5F243A12" w14:textId="77777777">
        <w:trPr>
          <w:trHeight w:val="2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74C9A" w14:textId="77777777" w:rsidR="00B46C54" w:rsidRDefault="00000000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2.4. Tanulmányi év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2A0F0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III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4EDBA" w14:textId="77777777" w:rsidR="00B46C54" w:rsidRDefault="00000000">
            <w:pPr>
              <w:spacing w:after="0" w:line="240" w:lineRule="auto"/>
              <w:ind w:right="-203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2.5. Félév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0F0E7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6C355" w14:textId="77777777" w:rsidR="00B46C54" w:rsidRDefault="00000000">
            <w:pPr>
              <w:spacing w:after="0" w:line="240" w:lineRule="auto"/>
              <w:ind w:right="-288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2.6. Értékelés módja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05FA1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195D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2.7. Tantárgy típusa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8DDC6E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DS</w:t>
            </w:r>
          </w:p>
        </w:tc>
      </w:tr>
    </w:tbl>
    <w:p w14:paraId="0BD4C08D" w14:textId="77777777" w:rsidR="00B46C54" w:rsidRDefault="00B46C54">
      <w:pPr>
        <w:spacing w:after="0"/>
        <w:ind w:right="-765"/>
        <w:rPr>
          <w:rFonts w:ascii="Cambria" w:eastAsia="Cambria" w:hAnsi="Cambria" w:cs="Cambria"/>
          <w:sz w:val="20"/>
          <w:szCs w:val="20"/>
        </w:rPr>
      </w:pPr>
    </w:p>
    <w:p w14:paraId="7BEB85EF" w14:textId="77777777" w:rsidR="00B46C54" w:rsidRDefault="00000000">
      <w:pPr>
        <w:spacing w:after="0" w:line="240" w:lineRule="auto"/>
        <w:ind w:right="-766"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3. Teljes becsült idő </w:t>
      </w:r>
      <w:r>
        <w:rPr>
          <w:rFonts w:ascii="Cambria" w:eastAsia="Cambria" w:hAnsi="Cambria" w:cs="Cambria"/>
          <w:sz w:val="20"/>
          <w:szCs w:val="20"/>
        </w:rPr>
        <w:t>(az oktatási tevékenység féléves óraszáma)</w:t>
      </w:r>
    </w:p>
    <w:tbl>
      <w:tblPr>
        <w:tblStyle w:val="a1"/>
        <w:tblpPr w:leftFromText="180" w:rightFromText="180" w:vertAnchor="text" w:tblpX="-408" w:tblpY="1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126"/>
        <w:gridCol w:w="567"/>
        <w:gridCol w:w="1701"/>
        <w:gridCol w:w="1276"/>
        <w:gridCol w:w="567"/>
      </w:tblGrid>
      <w:tr w:rsidR="00B46C54" w14:paraId="40FCCE25" w14:textId="77777777">
        <w:trPr>
          <w:trHeight w:val="284"/>
        </w:trPr>
        <w:tc>
          <w:tcPr>
            <w:tcW w:w="3539" w:type="dxa"/>
            <w:tcBorders>
              <w:bottom w:val="single" w:sz="4" w:space="0" w:color="000000"/>
            </w:tcBorders>
            <w:vAlign w:val="center"/>
          </w:tcPr>
          <w:p w14:paraId="157E222E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3.1. Heti óraszám  </w:t>
            </w:r>
          </w:p>
        </w:tc>
        <w:tc>
          <w:tcPr>
            <w:tcW w:w="709" w:type="dxa"/>
            <w:tcBorders>
              <w:bottom w:val="single" w:sz="4" w:space="0" w:color="000000"/>
            </w:tcBorders>
            <w:vAlign w:val="center"/>
          </w:tcPr>
          <w:p w14:paraId="22F1F808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vAlign w:val="center"/>
          </w:tcPr>
          <w:p w14:paraId="37C5230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3.2 előadás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20DD6809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977" w:type="dxa"/>
            <w:gridSpan w:val="2"/>
            <w:tcBorders>
              <w:bottom w:val="single" w:sz="4" w:space="0" w:color="000000"/>
            </w:tcBorders>
            <w:vAlign w:val="center"/>
          </w:tcPr>
          <w:p w14:paraId="68ECE65A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3.3 szeminárium/labor/projekt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634DF6AA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</w:t>
            </w:r>
          </w:p>
        </w:tc>
      </w:tr>
      <w:tr w:rsidR="00B46C54" w14:paraId="2D4D51A9" w14:textId="77777777">
        <w:trPr>
          <w:trHeight w:val="284"/>
        </w:trPr>
        <w:tc>
          <w:tcPr>
            <w:tcW w:w="3539" w:type="dxa"/>
            <w:vAlign w:val="center"/>
          </w:tcPr>
          <w:p w14:paraId="3D7D3AFB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3.4. Tantervben szereplő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összóraszám</w:t>
            </w:r>
            <w:proofErr w:type="spellEnd"/>
          </w:p>
        </w:tc>
        <w:tc>
          <w:tcPr>
            <w:tcW w:w="709" w:type="dxa"/>
            <w:vAlign w:val="center"/>
          </w:tcPr>
          <w:p w14:paraId="084C8B59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42</w:t>
            </w:r>
          </w:p>
        </w:tc>
        <w:tc>
          <w:tcPr>
            <w:tcW w:w="2126" w:type="dxa"/>
            <w:vAlign w:val="center"/>
          </w:tcPr>
          <w:p w14:paraId="7B8A98D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3.5 előadás</w:t>
            </w:r>
          </w:p>
        </w:tc>
        <w:tc>
          <w:tcPr>
            <w:tcW w:w="567" w:type="dxa"/>
            <w:vAlign w:val="center"/>
          </w:tcPr>
          <w:p w14:paraId="0F16633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2977" w:type="dxa"/>
            <w:gridSpan w:val="2"/>
            <w:vAlign w:val="center"/>
          </w:tcPr>
          <w:p w14:paraId="68E84F00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3.6 szeminárium/labor</w:t>
            </w:r>
          </w:p>
        </w:tc>
        <w:tc>
          <w:tcPr>
            <w:tcW w:w="567" w:type="dxa"/>
            <w:vAlign w:val="center"/>
          </w:tcPr>
          <w:p w14:paraId="332BAB09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14</w:t>
            </w:r>
          </w:p>
        </w:tc>
      </w:tr>
      <w:tr w:rsidR="00B46C54" w14:paraId="0A1FD4EF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A428EA0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Az egyéni tanulmányi idő (ET) és az önképzési tevékenységekre (ÖT) szánt idő elosztása:</w:t>
            </w:r>
          </w:p>
        </w:tc>
        <w:tc>
          <w:tcPr>
            <w:tcW w:w="567" w:type="dxa"/>
            <w:vAlign w:val="center"/>
          </w:tcPr>
          <w:p w14:paraId="36663584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óra</w:t>
            </w:r>
          </w:p>
        </w:tc>
      </w:tr>
      <w:tr w:rsidR="00B46C54" w14:paraId="01264C0F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2388F5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tankönyv, a jegyzet, a szakirodalom vagy saját jegyzetek tanulmányozása</w:t>
            </w:r>
          </w:p>
        </w:tc>
        <w:tc>
          <w:tcPr>
            <w:tcW w:w="567" w:type="dxa"/>
            <w:vAlign w:val="center"/>
          </w:tcPr>
          <w:p w14:paraId="4EDFF77D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20</w:t>
            </w:r>
          </w:p>
        </w:tc>
      </w:tr>
      <w:tr w:rsidR="00B46C54" w14:paraId="751E496D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540972B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Könyvtárban, elektronikus adatbázisokban vagy terepen való további tájékozódás</w:t>
            </w:r>
          </w:p>
        </w:tc>
        <w:tc>
          <w:tcPr>
            <w:tcW w:w="567" w:type="dxa"/>
            <w:vAlign w:val="center"/>
          </w:tcPr>
          <w:p w14:paraId="09F41D8C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</w:t>
            </w:r>
          </w:p>
        </w:tc>
      </w:tr>
      <w:tr w:rsidR="00B46C54" w14:paraId="3B60992F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25F3E0AF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Szemináriumok / laborok, házi feladatok, portfóliók, referátumok, esszék kidolgozása </w:t>
            </w:r>
          </w:p>
        </w:tc>
        <w:tc>
          <w:tcPr>
            <w:tcW w:w="567" w:type="dxa"/>
            <w:vAlign w:val="center"/>
          </w:tcPr>
          <w:p w14:paraId="17FF6208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15</w:t>
            </w:r>
          </w:p>
        </w:tc>
      </w:tr>
      <w:tr w:rsidR="00B46C54" w14:paraId="0FCE00A2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3E17678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Egyéni készségfejlesztés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tutorálás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567" w:type="dxa"/>
            <w:vAlign w:val="center"/>
          </w:tcPr>
          <w:p w14:paraId="7B8A9DA0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</w:t>
            </w:r>
          </w:p>
        </w:tc>
      </w:tr>
      <w:tr w:rsidR="00B46C54" w14:paraId="3D940EFB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6CFB03EA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Vizsgák</w:t>
            </w:r>
          </w:p>
        </w:tc>
        <w:tc>
          <w:tcPr>
            <w:tcW w:w="567" w:type="dxa"/>
            <w:vAlign w:val="center"/>
          </w:tcPr>
          <w:p w14:paraId="74D229A2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</w:tr>
      <w:tr w:rsidR="00B46C54" w14:paraId="32A3E33E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740F9902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Más tevékenységek: [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kétirányú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kommunikáció a tárgyfelelőssel/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tutorral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]</w:t>
            </w:r>
          </w:p>
        </w:tc>
        <w:tc>
          <w:tcPr>
            <w:tcW w:w="567" w:type="dxa"/>
            <w:vAlign w:val="center"/>
          </w:tcPr>
          <w:p w14:paraId="156DDC2A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</w:t>
            </w:r>
          </w:p>
        </w:tc>
      </w:tr>
      <w:tr w:rsidR="00B46C54" w14:paraId="61E85CFE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54518CE6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3.7. Egyéni tanulmányi idő (ET) és önképzési tevékenységekre (ÖT) szánt idő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5797496A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58</w:t>
            </w:r>
          </w:p>
        </w:tc>
      </w:tr>
      <w:tr w:rsidR="00B46C54" w14:paraId="7C1EA528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2A447549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3.8. A félév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1F543269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100</w:t>
            </w:r>
          </w:p>
        </w:tc>
      </w:tr>
      <w:tr w:rsidR="00B46C54" w14:paraId="38BFB2EF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3EB2E685" w14:textId="77777777" w:rsidR="00B46C54" w:rsidRDefault="00000000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3.9. Kreditszám</w:t>
            </w:r>
          </w:p>
        </w:tc>
        <w:tc>
          <w:tcPr>
            <w:tcW w:w="1843" w:type="dxa"/>
            <w:gridSpan w:val="2"/>
            <w:vAlign w:val="center"/>
          </w:tcPr>
          <w:p w14:paraId="704240E0" w14:textId="77777777" w:rsidR="00B46C54" w:rsidRDefault="00000000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4</w:t>
            </w:r>
          </w:p>
        </w:tc>
      </w:tr>
    </w:tbl>
    <w:p w14:paraId="2D40417C" w14:textId="77777777" w:rsidR="00B46C54" w:rsidRDefault="00B46C54">
      <w:pPr>
        <w:spacing w:after="0"/>
        <w:ind w:left="-284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p w14:paraId="151CF08A" w14:textId="77777777" w:rsidR="00B46C54" w:rsidRDefault="00B46C54">
      <w:pPr>
        <w:spacing w:after="0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p w14:paraId="1244A458" w14:textId="77777777" w:rsidR="00B46C54" w:rsidRDefault="00000000">
      <w:pPr>
        <w:spacing w:after="0" w:line="240" w:lineRule="auto"/>
        <w:ind w:left="-284" w:hanging="141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4. Előfeltételek (ha vannak)</w:t>
      </w:r>
    </w:p>
    <w:tbl>
      <w:tblPr>
        <w:tblStyle w:val="a2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B46C54" w14:paraId="4F60466A" w14:textId="77777777">
        <w:trPr>
          <w:trHeight w:val="284"/>
        </w:trPr>
        <w:tc>
          <w:tcPr>
            <w:tcW w:w="2127" w:type="dxa"/>
            <w:vAlign w:val="center"/>
          </w:tcPr>
          <w:p w14:paraId="6E617F0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4.1. Tantervi</w:t>
            </w:r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2D527507" w14:textId="77777777" w:rsidR="00B46C54" w:rsidRDefault="00B46C54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566FF74C" w14:textId="77777777">
        <w:trPr>
          <w:trHeight w:val="284"/>
        </w:trPr>
        <w:tc>
          <w:tcPr>
            <w:tcW w:w="2127" w:type="dxa"/>
            <w:vAlign w:val="center"/>
          </w:tcPr>
          <w:p w14:paraId="3B7A252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4.2.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Kompetenciabeli</w:t>
            </w:r>
            <w:proofErr w:type="spellEnd"/>
          </w:p>
        </w:tc>
        <w:tc>
          <w:tcPr>
            <w:tcW w:w="8364" w:type="dxa"/>
            <w:vAlign w:val="center"/>
          </w:tcPr>
          <w:p w14:paraId="57F112ED" w14:textId="77777777" w:rsidR="00B46C54" w:rsidRDefault="00B46C54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206EF95A" w14:textId="77777777" w:rsidR="00B46C54" w:rsidRDefault="00B46C54">
      <w:pPr>
        <w:spacing w:after="0"/>
        <w:ind w:right="-765"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5C60A3E5" w14:textId="77777777" w:rsidR="00B46C54" w:rsidRDefault="00000000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5. Feltételek (ha vannak)</w:t>
      </w:r>
    </w:p>
    <w:tbl>
      <w:tblPr>
        <w:tblStyle w:val="a3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B46C54" w14:paraId="5881A559" w14:textId="77777777">
        <w:trPr>
          <w:trHeight w:val="284"/>
        </w:trPr>
        <w:tc>
          <w:tcPr>
            <w:tcW w:w="4821" w:type="dxa"/>
            <w:vAlign w:val="center"/>
          </w:tcPr>
          <w:p w14:paraId="027C7CDC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5.1. Az előadás lebonyolításának feltételei</w:t>
            </w:r>
          </w:p>
        </w:tc>
        <w:tc>
          <w:tcPr>
            <w:tcW w:w="5618" w:type="dxa"/>
            <w:vAlign w:val="center"/>
          </w:tcPr>
          <w:p w14:paraId="7CCEB047" w14:textId="77777777" w:rsidR="00B46C54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Projektorral ellátott terem, infrastruktúra egyes témákhoz (vetítő, laptop, internet), könyvek valamilyen hordozón, 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MSTeams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 felület  </w:t>
            </w:r>
          </w:p>
          <w:p w14:paraId="204D8204" w14:textId="77777777" w:rsidR="00B46C54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Előadásokon való részvétel 70%-ban kötelező  </w:t>
            </w:r>
          </w:p>
        </w:tc>
      </w:tr>
      <w:tr w:rsidR="00B46C54" w14:paraId="2732D451" w14:textId="77777777">
        <w:trPr>
          <w:trHeight w:val="284"/>
        </w:trPr>
        <w:tc>
          <w:tcPr>
            <w:tcW w:w="4821" w:type="dxa"/>
            <w:vAlign w:val="center"/>
          </w:tcPr>
          <w:p w14:paraId="00B135A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5.2. A szeminárium / labor lebonyolításának feltételei</w:t>
            </w:r>
          </w:p>
        </w:tc>
        <w:tc>
          <w:tcPr>
            <w:tcW w:w="5618" w:type="dxa"/>
            <w:vAlign w:val="center"/>
          </w:tcPr>
          <w:p w14:paraId="2963235A" w14:textId="77777777" w:rsidR="00B46C54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Infrastruktúra egyes témákhoz (vetítő, laptop, internet), az olvasott ill. elemzendő anyag valamilyen hordozón, 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MSTeams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 felület;  </w:t>
            </w:r>
          </w:p>
          <w:p w14:paraId="5B500092" w14:textId="77777777" w:rsidR="00B46C54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Szemináriumon való részvétel 90%-ban kötelező  </w:t>
            </w:r>
          </w:p>
        </w:tc>
      </w:tr>
    </w:tbl>
    <w:p w14:paraId="6407FF8A" w14:textId="77777777" w:rsidR="00B46C54" w:rsidRDefault="00B46C54">
      <w:pPr>
        <w:spacing w:after="0" w:line="240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21E3425A" w14:textId="77777777" w:rsidR="00B46C54" w:rsidRDefault="00B46C54">
      <w:pPr>
        <w:spacing w:after="0" w:line="240" w:lineRule="auto"/>
        <w:ind w:hanging="426"/>
        <w:rPr>
          <w:rFonts w:ascii="Cambria" w:eastAsia="Cambria" w:hAnsi="Cambria" w:cs="Cambria"/>
          <w:b/>
          <w:bCs/>
          <w:sz w:val="20"/>
          <w:szCs w:val="20"/>
        </w:rPr>
      </w:pPr>
    </w:p>
    <w:p w14:paraId="26753BC8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A832D43" w14:textId="77777777" w:rsidR="00B46C54" w:rsidRDefault="00B46C54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156C59BB" w14:textId="77777777" w:rsidR="00B46C54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6. Tanulási eredmények</w:t>
      </w:r>
    </w:p>
    <w:tbl>
      <w:tblPr>
        <w:tblStyle w:val="a4"/>
        <w:tblW w:w="10485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95"/>
        <w:gridCol w:w="8490"/>
      </w:tblGrid>
      <w:tr w:rsidR="00B46C54" w14:paraId="4E93BAE7" w14:textId="77777777">
        <w:trPr>
          <w:cantSplit/>
          <w:trHeight w:val="1460"/>
        </w:trPr>
        <w:tc>
          <w:tcPr>
            <w:tcW w:w="1995" w:type="dxa"/>
            <w:vAlign w:val="center"/>
          </w:tcPr>
          <w:p w14:paraId="78BB0E1B" w14:textId="77777777" w:rsidR="00B46C54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Ismeretek</w:t>
            </w:r>
          </w:p>
        </w:tc>
        <w:tc>
          <w:tcPr>
            <w:tcW w:w="8490" w:type="dxa"/>
            <w:vAlign w:val="center"/>
          </w:tcPr>
          <w:p w14:paraId="3B19245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ismeri a XX–XXI. századi színházelmélet alapvető fogalmait és modelljeit.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ismeri a rendezői színház, a rituális színház és a posztdramatikus színház főbb jellemzőit.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 xml:space="preserve">A hallgató ismeri az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esemény és a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alapfogalmait.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ismeri a színházi előadás vizuális, testi és hangzó komponenseinek elméleti összefüggéseit.</w:t>
            </w:r>
          </w:p>
        </w:tc>
      </w:tr>
      <w:tr w:rsidR="00B46C54" w14:paraId="5A7AFCFD" w14:textId="77777777">
        <w:trPr>
          <w:cantSplit/>
          <w:trHeight w:val="1398"/>
        </w:trPr>
        <w:tc>
          <w:tcPr>
            <w:tcW w:w="1995" w:type="dxa"/>
            <w:vAlign w:val="center"/>
          </w:tcPr>
          <w:p w14:paraId="14760A96" w14:textId="77777777" w:rsidR="00B46C54" w:rsidRDefault="00000000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Szakmai kompetenciák</w:t>
            </w:r>
          </w:p>
        </w:tc>
        <w:tc>
          <w:tcPr>
            <w:tcW w:w="8490" w:type="dxa"/>
            <w:vAlign w:val="center"/>
          </w:tcPr>
          <w:p w14:paraId="0F80C7BB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képes színházi előadások elemzésére különböző elméleti megközelítések alkalmazásával.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értelmezni a színész, a néző és a tér viszonyát eltérő színházi modellekben.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felismerni és megnevezni dramatikus és posztdramatikus szerkesztésmódokat.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a színházelméleti terminológia szakszerű használatára elemzési helyzetben.</w:t>
            </w:r>
          </w:p>
        </w:tc>
      </w:tr>
      <w:tr w:rsidR="00B46C54" w14:paraId="7E0E5593" w14:textId="77777777">
        <w:trPr>
          <w:cantSplit/>
          <w:trHeight w:val="1450"/>
        </w:trPr>
        <w:tc>
          <w:tcPr>
            <w:tcW w:w="1995" w:type="dxa"/>
            <w:vAlign w:val="center"/>
          </w:tcPr>
          <w:p w14:paraId="3B486E9F" w14:textId="77777777" w:rsidR="00B46C54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Transzverzális kompetenciák</w:t>
            </w:r>
          </w:p>
        </w:tc>
        <w:tc>
          <w:tcPr>
            <w:tcW w:w="8490" w:type="dxa"/>
            <w:vAlign w:val="center"/>
          </w:tcPr>
          <w:p w14:paraId="64C8952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képes önállóan értelmezni egy színházi előadás hatásmechanizmusait.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saját elemzői álláspontját világosan és érvekkel alátámasztva megfogalmazni.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az elsajátított fogalmakat rövid szóbeli vagy írásbeli elemzésben alkalmazni.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A hallgató képes önállóan tájékozódni a kortárs színházelméleti szakirodalomban.</w:t>
            </w:r>
          </w:p>
        </w:tc>
      </w:tr>
    </w:tbl>
    <w:p w14:paraId="06F5DDE5" w14:textId="77777777" w:rsidR="00B46C54" w:rsidRDefault="00B46C54">
      <w:pPr>
        <w:spacing w:after="0" w:line="240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214E467A" w14:textId="77777777" w:rsidR="00B46C54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7. A tantárgy célkitűzései </w:t>
      </w:r>
      <w:r>
        <w:rPr>
          <w:rFonts w:ascii="Cambria" w:eastAsia="Cambria" w:hAnsi="Cambria" w:cs="Cambria"/>
          <w:sz w:val="20"/>
          <w:szCs w:val="20"/>
        </w:rPr>
        <w:t>(az elsajátítandó jellemző kompetenciák alapján)</w:t>
      </w:r>
    </w:p>
    <w:tbl>
      <w:tblPr>
        <w:tblStyle w:val="a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B46C54" w14:paraId="6910C0E1" w14:textId="77777777">
        <w:trPr>
          <w:cantSplit/>
          <w:trHeight w:val="1003"/>
        </w:trPr>
        <w:tc>
          <w:tcPr>
            <w:tcW w:w="3545" w:type="dxa"/>
            <w:vAlign w:val="center"/>
          </w:tcPr>
          <w:p w14:paraId="52F2773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7.1 A tantárgy általános célkitűzése</w:t>
            </w:r>
          </w:p>
        </w:tc>
        <w:tc>
          <w:tcPr>
            <w:tcW w:w="6946" w:type="dxa"/>
            <w:vAlign w:val="center"/>
          </w:tcPr>
          <w:p w14:paraId="3AD411A2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célja a hallgatók megismertetése a XX–XXI. századi színházelmélet alapvető fogalmaival, irányzataival és modelljeivel, valamint annak bemutatása, hogy a színházi előadás különböző elméleti megközelítésekben eltérő módon szerveződik, és hogy ezek a modellek miként határozzák meg a nézői befogadás módját.</w:t>
            </w:r>
          </w:p>
          <w:p w14:paraId="74B54479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tantárgy célja a színházi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komplex esztétikai esemény értelmezése, amelyben a különböző színházi jelenségek, valamint a test, a tér, a hang és a vizualitás jelentésképző szerepe meghatározó.</w:t>
            </w:r>
          </w:p>
        </w:tc>
      </w:tr>
      <w:tr w:rsidR="00B46C54" w14:paraId="2D44FE5E" w14:textId="77777777">
        <w:trPr>
          <w:cantSplit/>
          <w:trHeight w:val="832"/>
        </w:trPr>
        <w:tc>
          <w:tcPr>
            <w:tcW w:w="3545" w:type="dxa"/>
            <w:vAlign w:val="center"/>
          </w:tcPr>
          <w:p w14:paraId="42C4595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7.2 A tantárgy sajátos célkitűzései</w:t>
            </w:r>
          </w:p>
        </w:tc>
        <w:tc>
          <w:tcPr>
            <w:tcW w:w="6946" w:type="dxa"/>
            <w:vAlign w:val="center"/>
          </w:tcPr>
          <w:p w14:paraId="01A55EFE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Alapvető színházelméleti fogalmak és elemzési szempontok elsajátítása, a színházi előadás szerkezetének, hatásmechanizmusainak és befogadói pozícióinak felismerése és értelmezése konkrét példákon keresztül.</w:t>
            </w:r>
          </w:p>
          <w:p w14:paraId="4039E2B5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hallgatók önálló elemzői és értelmezői készségeinek fejlesztése rövid szóbeli és írásbeli feladatok segítségével.</w:t>
            </w:r>
          </w:p>
          <w:p w14:paraId="07BB0895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Az elméleti terminológia szakszerű használatának és az alapvető szakirodalomban való tájékozódás képességének kialakítása.</w:t>
            </w:r>
          </w:p>
        </w:tc>
      </w:tr>
    </w:tbl>
    <w:p w14:paraId="4ADF2581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DAE9908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E31B992" w14:textId="77777777" w:rsidR="00B46C54" w:rsidRDefault="00000000">
      <w:pPr>
        <w:spacing w:after="0" w:line="240" w:lineRule="auto"/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8. A tantárgy tartalma</w:t>
      </w:r>
    </w:p>
    <w:tbl>
      <w:tblPr>
        <w:tblStyle w:val="a6"/>
        <w:tblW w:w="104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7"/>
        <w:gridCol w:w="3543"/>
        <w:gridCol w:w="3261"/>
      </w:tblGrid>
      <w:tr w:rsidR="00B46C54" w14:paraId="3D650C2D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4A9050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8.1 Előadás</w:t>
            </w:r>
          </w:p>
        </w:tc>
        <w:tc>
          <w:tcPr>
            <w:tcW w:w="3543" w:type="dxa"/>
            <w:vAlign w:val="center"/>
          </w:tcPr>
          <w:p w14:paraId="5331F7F0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Didaktikai módszerek</w:t>
            </w:r>
          </w:p>
        </w:tc>
        <w:tc>
          <w:tcPr>
            <w:tcW w:w="3261" w:type="dxa"/>
            <w:vAlign w:val="center"/>
          </w:tcPr>
          <w:p w14:paraId="3F01A6B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Megjegyzések</w:t>
            </w:r>
          </w:p>
        </w:tc>
      </w:tr>
      <w:tr w:rsidR="00B46C54" w14:paraId="7696C62D" w14:textId="77777777">
        <w:trPr>
          <w:trHeight w:val="284"/>
          <w:jc w:val="center"/>
        </w:trPr>
        <w:tc>
          <w:tcPr>
            <w:tcW w:w="3687" w:type="dxa"/>
          </w:tcPr>
          <w:p w14:paraId="6890EA7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Bevezetés: mit csinál a színházelmélet?</w:t>
            </w:r>
          </w:p>
        </w:tc>
        <w:tc>
          <w:tcPr>
            <w:tcW w:w="3543" w:type="dxa"/>
          </w:tcPr>
          <w:p w14:paraId="1A7EF7E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beszélgetés</w:t>
            </w:r>
          </w:p>
        </w:tc>
        <w:tc>
          <w:tcPr>
            <w:tcW w:w="3261" w:type="dxa"/>
          </w:tcPr>
          <w:p w14:paraId="13F9F0C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Bevezető, a színház fogalmának történeti változásai</w:t>
            </w:r>
          </w:p>
        </w:tc>
      </w:tr>
      <w:tr w:rsidR="00B46C54" w14:paraId="580C7518" w14:textId="77777777">
        <w:trPr>
          <w:trHeight w:val="284"/>
          <w:jc w:val="center"/>
        </w:trPr>
        <w:tc>
          <w:tcPr>
            <w:tcW w:w="3687" w:type="dxa"/>
          </w:tcPr>
          <w:p w14:paraId="113D9BEB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Drámai, epikus és rendezői színház</w:t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ab/>
            </w: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</w:tcPr>
          <w:p w14:paraId="03934BA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csoportos feladat, kollokvium</w:t>
            </w:r>
          </w:p>
        </w:tc>
        <w:tc>
          <w:tcPr>
            <w:tcW w:w="3261" w:type="dxa"/>
          </w:tcPr>
          <w:p w14:paraId="44CB2CB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Sztanyiszlavszkij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, Brecht – a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rendező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alkotó</w:t>
            </w:r>
          </w:p>
          <w:p w14:paraId="417F9F3B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703FE1C7" w14:textId="77777777">
        <w:trPr>
          <w:trHeight w:val="284"/>
          <w:jc w:val="center"/>
        </w:trPr>
        <w:tc>
          <w:tcPr>
            <w:tcW w:w="3687" w:type="dxa"/>
          </w:tcPr>
          <w:p w14:paraId="70F511A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A naturalizmus kritikája: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Adolphe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Appia színháza</w:t>
            </w:r>
          </w:p>
        </w:tc>
        <w:tc>
          <w:tcPr>
            <w:tcW w:w="3543" w:type="dxa"/>
          </w:tcPr>
          <w:p w14:paraId="04B412A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vizuális elemzés</w:t>
            </w:r>
          </w:p>
        </w:tc>
        <w:tc>
          <w:tcPr>
            <w:tcW w:w="3261" w:type="dxa"/>
          </w:tcPr>
          <w:p w14:paraId="0B3BA33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zene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dramaturgiai alapelv, ritmus, fény, plasztikus tér</w:t>
            </w:r>
          </w:p>
          <w:p w14:paraId="09F0A6E9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0EE8005C" w14:textId="77777777">
        <w:trPr>
          <w:trHeight w:val="284"/>
          <w:jc w:val="center"/>
        </w:trPr>
        <w:tc>
          <w:tcPr>
            <w:tcW w:w="3687" w:type="dxa"/>
          </w:tcPr>
          <w:p w14:paraId="5DC584C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A </w:t>
            </w:r>
            <w:proofErr w:type="gram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rendezés</w:t>
            </w:r>
            <w:proofErr w:type="gram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mint partitúra: Giorgio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Strehler</w:t>
            </w:r>
            <w:proofErr w:type="spellEnd"/>
          </w:p>
        </w:tc>
        <w:tc>
          <w:tcPr>
            <w:tcW w:w="3543" w:type="dxa"/>
          </w:tcPr>
          <w:p w14:paraId="7D83BF4C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3261" w:type="dxa"/>
          </w:tcPr>
          <w:p w14:paraId="424ED43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zenei dramaturgia, ritmus, tempó, szünet,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ensemble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és „emberi színház”</w:t>
            </w:r>
          </w:p>
          <w:p w14:paraId="6530743C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43E01603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285BC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lastRenderedPageBreak/>
              <w:t xml:space="preserve">A nyelv válsága: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Antonin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Artaud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színháza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185F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vitaindító beszélgetés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D3A8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beszélt nyelv kritikája, test, hang, rítus, a kegyetlenség színháza</w:t>
            </w:r>
          </w:p>
          <w:p w14:paraId="516C5405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41102114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954E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Színház</w:t>
            </w:r>
            <w:proofErr w:type="gram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mint rituális munka: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Jerzy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Grotowski</w:t>
            </w:r>
            <w:proofErr w:type="spellEnd"/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AACF0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91B3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szegény színház, tréning és jelenlét, színész–néző viszony</w:t>
            </w:r>
          </w:p>
          <w:p w14:paraId="5B254D37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0500761F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1DDE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Halál, emlékezet, tárgy: Tadeusz Kantor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A8E0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79BB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Halálszínház, tárgyak dramaturgiája,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autobiografikus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színház</w:t>
            </w:r>
          </w:p>
          <w:p w14:paraId="06CD1738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0FAE633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02E4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Az üres tér és a színház modelljei: Peter Brook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BF0F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dokumentumfilm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752B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holt, szent, nyers, közvetlen színház, minimalizmus és jelenlét</w:t>
            </w:r>
          </w:p>
          <w:p w14:paraId="7ACC6E3F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30038988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035D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Kollektív színház és rituális jelenlét: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Ariane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Mnouchkine</w:t>
            </w:r>
            <w:proofErr w:type="spellEnd"/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DD67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előadásrészletek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A566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kollektív alkotás, maszk, zene,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fizikalitás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néző és közösség</w:t>
            </w:r>
          </w:p>
          <w:p w14:paraId="5A314A7D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2B1C206E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0045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és esemény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45B7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kollokvium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5015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esemény,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autopoietikus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visszacsatolás, nézői jelenlét</w:t>
            </w:r>
          </w:p>
          <w:p w14:paraId="1170AFFC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4331C9BC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4D32E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Posztdramatikus fordulat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686E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előadásrészletek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1CA5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narrativitás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válsága, vizuális dramaturgia, posztdramatikus színházi jegyek</w:t>
            </w:r>
          </w:p>
          <w:p w14:paraId="2BDC72ED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3FFC93F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510C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 képek színháza: Robert Wilson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0A5B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előadásnézés, elemzés, beszélgetés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1282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Idő hajlítása, álomszerű képek, zeneiség, színház és képzőművészet határán</w:t>
            </w:r>
          </w:p>
          <w:p w14:paraId="187E4A7E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640EA045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4926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Kép, test, ikonográfia: Romeo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Castellucci</w:t>
            </w:r>
            <w:proofErr w:type="spellEnd"/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0DA40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előadásnézés, elemzés, beszélgetés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18D8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vizuális és akusztikus kompozíció, a narratíva szétrombolása, a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színház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érzéki és etikai sokk</w:t>
            </w:r>
          </w:p>
        </w:tc>
      </w:tr>
      <w:tr w:rsidR="00B46C54" w14:paraId="48C9790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7746C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Performansz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és kortárs jelenlét: Marina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Abramović</w:t>
            </w:r>
            <w:proofErr w:type="spellEnd"/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A28A8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close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reading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dokumentumfilm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66B3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test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médium, színház és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performansz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határai</w:t>
            </w:r>
          </w:p>
          <w:p w14:paraId="58AB903E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0DE2C9B3" w14:textId="77777777">
        <w:trPr>
          <w:trHeight w:val="284"/>
          <w:jc w:val="center"/>
        </w:trPr>
        <w:tc>
          <w:tcPr>
            <w:tcW w:w="10491" w:type="dxa"/>
            <w:gridSpan w:val="3"/>
            <w:vAlign w:val="center"/>
          </w:tcPr>
          <w:p w14:paraId="74341D70" w14:textId="77777777" w:rsidR="00B46C54" w:rsidRDefault="00B46C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tbl>
            <w:tblPr>
              <w:tblStyle w:val="a7"/>
              <w:tblW w:w="10491" w:type="dxa"/>
              <w:jc w:val="center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687"/>
              <w:gridCol w:w="3543"/>
              <w:gridCol w:w="3261"/>
            </w:tblGrid>
            <w:tr w:rsidR="00B46C54" w14:paraId="5C919931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0E5A381E" w14:textId="77777777" w:rsidR="00B46C54" w:rsidRDefault="00000000">
                  <w:pP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8.2 Szeminárium</w:t>
                  </w:r>
                </w:p>
              </w:tc>
              <w:tc>
                <w:tcPr>
                  <w:tcW w:w="3543" w:type="dxa"/>
                  <w:vAlign w:val="center"/>
                </w:tcPr>
                <w:p w14:paraId="36279610" w14:textId="77777777" w:rsidR="00B46C54" w:rsidRDefault="00000000">
                  <w:pP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Didaktikai módszerek</w:t>
                  </w:r>
                </w:p>
              </w:tc>
              <w:tc>
                <w:tcPr>
                  <w:tcW w:w="3261" w:type="dxa"/>
                  <w:vAlign w:val="center"/>
                </w:tcPr>
                <w:p w14:paraId="27B4C260" w14:textId="77777777" w:rsidR="00B46C54" w:rsidRDefault="00000000">
                  <w:pP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Megjegyzések</w:t>
                  </w:r>
                </w:p>
              </w:tc>
            </w:tr>
            <w:tr w:rsidR="00B46C54" w14:paraId="7AA2A3B6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58AECF1B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1-2. Mi az, hogy „színház”?</w:t>
                  </w: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– fogalmak és modellek</w:t>
                  </w:r>
                </w:p>
              </w:tc>
              <w:tc>
                <w:tcPr>
                  <w:tcW w:w="3543" w:type="dxa"/>
                  <w:vAlign w:val="center"/>
                </w:tcPr>
                <w:p w14:paraId="454C24A3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vitaindító, beszélgetés</w:t>
                  </w:r>
                </w:p>
              </w:tc>
              <w:tc>
                <w:tcPr>
                  <w:tcW w:w="3261" w:type="dxa"/>
                  <w:vAlign w:val="center"/>
                </w:tcPr>
                <w:p w14:paraId="1526554A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színház</w:t>
                  </w:r>
                  <w:proofErr w:type="gram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mint reprezentáció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vs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. esemény, rendezői színház alapfogalmai</w:t>
                  </w:r>
                </w:p>
              </w:tc>
            </w:tr>
            <w:tr w:rsidR="00B46C54" w14:paraId="477E6952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4C6F8749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 xml:space="preserve">3-4. </w:t>
                  </w:r>
                  <w:proofErr w:type="gramStart"/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Színház</w:t>
                  </w:r>
                  <w:proofErr w:type="gramEnd"/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 xml:space="preserve"> mint rítus: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Jerzy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Grotowski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és a szent színház</w:t>
                  </w:r>
                </w:p>
              </w:tc>
              <w:tc>
                <w:tcPr>
                  <w:tcW w:w="3543" w:type="dxa"/>
                  <w:vAlign w:val="center"/>
                </w:tcPr>
                <w:p w14:paraId="6DA5D342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szemináriumi bemutató, csoportos beszélgetés</w:t>
                  </w:r>
                </w:p>
              </w:tc>
              <w:tc>
                <w:tcPr>
                  <w:tcW w:w="3261" w:type="dxa"/>
                  <w:vAlign w:val="center"/>
                </w:tcPr>
                <w:p w14:paraId="0DA67FB8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a szegény színház, tréning, test, jelenlét, a </w:t>
                  </w:r>
                  <w:proofErr w:type="gram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néző</w:t>
                  </w:r>
                  <w:proofErr w:type="gram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mint tanú</w:t>
                  </w:r>
                </w:p>
              </w:tc>
            </w:tr>
            <w:tr w:rsidR="00B46C54" w14:paraId="5E2848A4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579B4076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5-6. Halál, emlékezet, tárgy:</w:t>
                  </w: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Tadeusz Kantor halálszínháza</w:t>
                  </w:r>
                </w:p>
              </w:tc>
              <w:tc>
                <w:tcPr>
                  <w:tcW w:w="3543" w:type="dxa"/>
                  <w:vAlign w:val="center"/>
                </w:tcPr>
                <w:p w14:paraId="7A04C841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szemináriumi bemutató, csoportos beszélgetés</w:t>
                  </w:r>
                </w:p>
              </w:tc>
              <w:tc>
                <w:tcPr>
                  <w:tcW w:w="3261" w:type="dxa"/>
                  <w:vAlign w:val="center"/>
                </w:tcPr>
                <w:p w14:paraId="24835A34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halál</w:t>
                  </w:r>
                  <w:proofErr w:type="gram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mint színházi motor, autobiográfia és fikció, tárgyak dramaturgiája</w:t>
                  </w:r>
                </w:p>
              </w:tc>
            </w:tr>
            <w:tr w:rsidR="00B46C54" w14:paraId="18EA30FF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4A77ADEB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7-8. Holt, szent, nyers, közvetlen:</w:t>
                  </w: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Peter Brook </w:t>
                  </w:r>
                  <w:r>
                    <w:rPr>
                      <w:rFonts w:ascii="Cambria" w:eastAsia="Cambria" w:hAnsi="Cambria" w:cs="Cambria"/>
                      <w:i/>
                      <w:iCs/>
                      <w:sz w:val="20"/>
                      <w:szCs w:val="20"/>
                    </w:rPr>
                    <w:t>Az üres tér</w:t>
                  </w:r>
                </w:p>
              </w:tc>
              <w:tc>
                <w:tcPr>
                  <w:tcW w:w="3543" w:type="dxa"/>
                  <w:vAlign w:val="center"/>
                </w:tcPr>
                <w:p w14:paraId="6C57F140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szemináriumi bemutatók</w:t>
                  </w:r>
                </w:p>
              </w:tc>
              <w:tc>
                <w:tcPr>
                  <w:tcW w:w="3261" w:type="dxa"/>
                  <w:vAlign w:val="center"/>
                </w:tcPr>
                <w:p w14:paraId="04CF1F23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a négy színháztípus, a „szent színház” problémája, minimalizmus és jelenlét</w:t>
                  </w:r>
                </w:p>
              </w:tc>
            </w:tr>
            <w:tr w:rsidR="00B46C54" w14:paraId="166435E9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6B6671B6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 xml:space="preserve">9-10. A dráma után: </w:t>
                  </w: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Hans-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Thies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Lehmann és a posztdramatikus színház</w:t>
                  </w:r>
                </w:p>
              </w:tc>
              <w:tc>
                <w:tcPr>
                  <w:tcW w:w="3543" w:type="dxa"/>
                  <w:vAlign w:val="center"/>
                </w:tcPr>
                <w:p w14:paraId="54255378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szemináriumi bemutató, csoportos beszélgetés</w:t>
                  </w:r>
                </w:p>
              </w:tc>
              <w:tc>
                <w:tcPr>
                  <w:tcW w:w="3261" w:type="dxa"/>
                  <w:vAlign w:val="center"/>
                </w:tcPr>
                <w:p w14:paraId="37000247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a narratíva felbomlása, vizuális dramaturgia, hang, test, idő</w:t>
                  </w:r>
                </w:p>
              </w:tc>
            </w:tr>
            <w:tr w:rsidR="00B46C54" w14:paraId="17548E79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1D74F680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 xml:space="preserve">11-12. Kép és kegyetlenség: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Artaud-tól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Castellucciig</w:t>
                  </w:r>
                  <w:proofErr w:type="spellEnd"/>
                </w:p>
              </w:tc>
              <w:tc>
                <w:tcPr>
                  <w:tcW w:w="3543" w:type="dxa"/>
                  <w:vAlign w:val="center"/>
                </w:tcPr>
                <w:p w14:paraId="2B215196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vitaindító, csoportos beszélgetés</w:t>
                  </w:r>
                </w:p>
              </w:tc>
              <w:tc>
                <w:tcPr>
                  <w:tcW w:w="3261" w:type="dxa"/>
                  <w:vAlign w:val="center"/>
                </w:tcPr>
                <w:p w14:paraId="3843AD1A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kegyetlenség</w:t>
                  </w:r>
                  <w:proofErr w:type="gram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mint érzéki túlterhelés, kép, test, sokk, ikonográfia és etika</w:t>
                  </w:r>
                </w:p>
              </w:tc>
            </w:tr>
            <w:tr w:rsidR="00B46C54" w14:paraId="56FBCBF5" w14:textId="77777777">
              <w:trPr>
                <w:trHeight w:val="284"/>
                <w:jc w:val="center"/>
              </w:trPr>
              <w:tc>
                <w:tcPr>
                  <w:tcW w:w="3687" w:type="dxa"/>
                  <w:vAlign w:val="center"/>
                </w:tcPr>
                <w:p w14:paraId="21EA6B23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lastRenderedPageBreak/>
                    <w:t xml:space="preserve">13-14. </w:t>
                  </w:r>
                  <w:proofErr w:type="gramStart"/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>Színház</w:t>
                  </w:r>
                  <w:proofErr w:type="gramEnd"/>
                  <w:r>
                    <w:rPr>
                      <w:rFonts w:ascii="Cambria" w:eastAsia="Cambria" w:hAnsi="Cambria" w:cs="Cambria"/>
                      <w:b/>
                      <w:bCs/>
                      <w:sz w:val="20"/>
                      <w:szCs w:val="20"/>
                    </w:rPr>
                    <w:t xml:space="preserve"> mint esemény: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performativitás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és jelenlét</w:t>
                  </w:r>
                </w:p>
              </w:tc>
              <w:tc>
                <w:tcPr>
                  <w:tcW w:w="3543" w:type="dxa"/>
                  <w:vAlign w:val="center"/>
                </w:tcPr>
                <w:p w14:paraId="391CD384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előadásnézés, kollokvium</w:t>
                  </w:r>
                </w:p>
              </w:tc>
              <w:tc>
                <w:tcPr>
                  <w:tcW w:w="3261" w:type="dxa"/>
                  <w:vAlign w:val="center"/>
                </w:tcPr>
                <w:p w14:paraId="21EB3277" w14:textId="77777777" w:rsidR="00B46C54" w:rsidRDefault="00000000">
                  <w:pPr>
                    <w:rPr>
                      <w:rFonts w:ascii="Cambria" w:eastAsia="Cambria" w:hAnsi="Cambria" w:cs="Cambri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előadás</w:t>
                  </w:r>
                  <w:proofErr w:type="gram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mint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autopoietikus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folyamat, nézői jelenlét, színház és </w:t>
                  </w:r>
                  <w:proofErr w:type="spellStart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>performansz</w:t>
                  </w:r>
                  <w:proofErr w:type="spellEnd"/>
                  <w:r>
                    <w:rPr>
                      <w:rFonts w:ascii="Cambria" w:eastAsia="Cambria" w:hAnsi="Cambria" w:cs="Cambria"/>
                      <w:sz w:val="20"/>
                      <w:szCs w:val="20"/>
                    </w:rPr>
                    <w:t xml:space="preserve"> határai</w:t>
                  </w:r>
                </w:p>
              </w:tc>
            </w:tr>
          </w:tbl>
          <w:p w14:paraId="14CC4FD9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  <w:p w14:paraId="7D1FE323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Bibliográfia:</w:t>
            </w:r>
          </w:p>
          <w:p w14:paraId="4B59B578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Határtalan áramlás. Színházelméleti távlatok Victor Turner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kulturantropológiai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írásaiban. Kijárat Kiadó, 2003.</w:t>
            </w:r>
          </w:p>
          <w:p w14:paraId="4B938AE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Appia,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Adolphe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 zene és a rendezés (válogatás 1892–1897)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. In: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Korszerű színház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, 98. Budapest, 1968.</w:t>
            </w:r>
          </w:p>
          <w:p w14:paraId="764445E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Artaud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Antonin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: A színház és az istenek. Orpheusz Könyvek, Budapest, 1999.</w:t>
            </w:r>
          </w:p>
          <w:p w14:paraId="343AE9D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Artaud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Antonin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Az Alfred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Jarry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színház (Első kiáltvány); Kiáltvány egy elvetélt színház ügyében; A kegyetlen színház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. In: Barthes, Roland: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 szerző halála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. In: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 szöveg öröme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, ford.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Babarczy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Eszter,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Mihancsik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Zsófia,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Romhányi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Török Gábor, Kovács Sándor, Osiris, Budapest, 1998.</w:t>
            </w:r>
          </w:p>
          <w:p w14:paraId="532AA49E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Jákfalvi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Magdolna (szerk.):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Színházi antológia – XX. század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, Balassi Kiadó, Budapest, 2000.</w:t>
            </w:r>
          </w:p>
          <w:p w14:paraId="25FA195E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Brook, Peter: Az üres tér. Európa könyvkiadó. Budapest, 1999.</w:t>
            </w:r>
          </w:p>
          <w:p w14:paraId="06ABE812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Földényi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F. László: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Antonin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Artaud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halálos színháza. In: A túlsó parton. Jelenkor, Pécs, 1990. 227-254.</w:t>
            </w:r>
          </w:p>
          <w:p w14:paraId="0BF2A181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Fischer-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Lichte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, Erika: A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esztétikája. Balassi, Budapest. 2009. </w:t>
            </w:r>
          </w:p>
          <w:p w14:paraId="762A96B8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Grotowski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Jerzy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: Színház és rituálé.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Kalligram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Kiadó, Pozsony, 2009. </w:t>
            </w:r>
          </w:p>
          <w:p w14:paraId="5AE50E46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Grotowski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Jerzy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 szegény színház felé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, Európa Kiadó, Budapest, 1983.</w:t>
            </w:r>
          </w:p>
          <w:p w14:paraId="20616FF8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Kantor, Tadeusz: Halálszínház – Írások a művészetről és a színházról. Maszk Egyesület – Prospero Könyvek, 1994.</w:t>
            </w:r>
          </w:p>
          <w:p w14:paraId="55113D1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Kékesi Kun Árpád: A rendezés színháza. Osiris Kiadó, Budapest, 2007.</w:t>
            </w:r>
          </w:p>
          <w:p w14:paraId="11612D1E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Lehmann, Hans-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Thies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: Posztdramatikus színház. Balassi, Budapest, 2009. </w:t>
            </w:r>
          </w:p>
          <w:p w14:paraId="580C8D3F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Pavis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Patrice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: Színházi szótár.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L’Harmattan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Kiadó, Budapest, 2005.</w:t>
            </w:r>
          </w:p>
          <w:p w14:paraId="74939050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Schechner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, Richard: A performance. Esszék a színházi előadás elméletéről. Múzsák,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h.n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., 1984.</w:t>
            </w:r>
          </w:p>
          <w:p w14:paraId="5C143284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Strehler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Giorgio: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Az emberi színházért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, Gondolat, Budapest, 1982.</w:t>
            </w:r>
          </w:p>
        </w:tc>
      </w:tr>
    </w:tbl>
    <w:p w14:paraId="5060800A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211CD953" w14:textId="77777777" w:rsidR="00B46C54" w:rsidRDefault="00000000">
      <w:pPr>
        <w:spacing w:after="0" w:line="240" w:lineRule="auto"/>
        <w:ind w:left="-426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9. Az </w:t>
      </w:r>
      <w:proofErr w:type="spellStart"/>
      <w:r>
        <w:rPr>
          <w:rFonts w:ascii="Cambria" w:eastAsia="Cambria" w:hAnsi="Cambria" w:cs="Cambria"/>
          <w:b/>
          <w:bCs/>
          <w:sz w:val="20"/>
          <w:szCs w:val="20"/>
        </w:rPr>
        <w:t>episztemikus</w:t>
      </w:r>
      <w:proofErr w:type="spellEnd"/>
      <w:r>
        <w:rPr>
          <w:rFonts w:ascii="Cambria" w:eastAsia="Cambria" w:hAnsi="Cambria" w:cs="Cambria"/>
          <w:b/>
          <w:bCs/>
          <w:sz w:val="20"/>
          <w:szCs w:val="20"/>
        </w:rPr>
        <w:t xml:space="preserve"> közösségek képviselői, a szakmai egyesületek és a szakterület reprezentatív munkáltatói elvárásainak összhangba hozása a tantárgy tartalmával.</w:t>
      </w:r>
    </w:p>
    <w:tbl>
      <w:tblPr>
        <w:tblStyle w:val="a8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B46C54" w14:paraId="69C662A1" w14:textId="77777777">
        <w:trPr>
          <w:trHeight w:val="992"/>
        </w:trPr>
        <w:tc>
          <w:tcPr>
            <w:tcW w:w="10491" w:type="dxa"/>
          </w:tcPr>
          <w:p w14:paraId="6ACA08E3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tartalma és módszertana közvetlenül kapcsolódik a hazai és nemzetközi színháztudományi kutatások jelenlegi standardjaihoz, egyúttal válaszol az akadémiai közösség és a szakmai profilú egyesületek (mint például a Nemzetközi Színházi Kritikusok Szövetsége – AICT / IATC, vagy a profilú egyetemek kutatói struktúrái) által megfogalmazott elvárásokra.</w:t>
            </w:r>
          </w:p>
          <w:p w14:paraId="63C3CE18" w14:textId="77777777" w:rsidR="00B46C54" w:rsidRDefault="00000000">
            <w:pPr>
              <w:spacing w:after="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XX–XXI. századi színházelmélet alapvető fogalmainak, irányzatainak és modelljeinek elsajátítása révén (a rendezői és a rituális színháztól kezdve a performatív és posztdramatikus fordulatig, valamint a performanceművészetig) a hallgatók szigorú fogalmi apparátust és a szakirodalomban való haladó szintű kritikai tájékozódási képességet szereznek. Ezek az absztrakt elemzői kompetenciák a színházi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előadás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mint komplex esztétikai esemény alkalmazott (szóbeli és írásbeli) elemzési gyakorlatain keresztül ültetődnek át gyakorlati készségekké. Ily módon a tantárgy olyan szakembereket és szakértőket készít fel, akik képesek sikeresen tevékenykedni a kulturális szektor munkaerőpiacán – a tudományos kutatás, a kulturális újságírás, a dramaturgia, a művészeti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kurátorság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vagy a kulturális menedzsment területén –, biztosítva számukra a szükséges eszközöket ahhoz, hogy a kortárs színházi jelenségeket ne elszigetelt aktusként, hanem összetett, a társadalmi, történeti és interdiszciplináris kontextusokba mélyen beágyazott kommunikációs folyamatként értékeljék.</w:t>
            </w:r>
          </w:p>
        </w:tc>
      </w:tr>
    </w:tbl>
    <w:p w14:paraId="7AC2BA9D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1B7E0A1B" w14:textId="77777777" w:rsidR="00B46C54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10. Értékelés</w:t>
      </w:r>
    </w:p>
    <w:tbl>
      <w:tblPr>
        <w:tblStyle w:val="a9"/>
        <w:tblW w:w="104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837"/>
        <w:gridCol w:w="2692"/>
        <w:gridCol w:w="2978"/>
      </w:tblGrid>
      <w:tr w:rsidR="00B46C54" w14:paraId="76082ABE" w14:textId="77777777">
        <w:trPr>
          <w:trHeight w:val="284"/>
        </w:trPr>
        <w:tc>
          <w:tcPr>
            <w:tcW w:w="1985" w:type="dxa"/>
            <w:vAlign w:val="center"/>
          </w:tcPr>
          <w:p w14:paraId="4D566508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Tevékenység típusa</w:t>
            </w:r>
          </w:p>
        </w:tc>
        <w:tc>
          <w:tcPr>
            <w:tcW w:w="2837" w:type="dxa"/>
            <w:vAlign w:val="center"/>
          </w:tcPr>
          <w:p w14:paraId="066EB8BB" w14:textId="77777777" w:rsidR="00B46C54" w:rsidRDefault="00000000">
            <w:pPr>
              <w:spacing w:after="0" w:line="240" w:lineRule="auto"/>
              <w:ind w:left="46" w:right="-15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10.1 Értékelési kritériumok</w:t>
            </w:r>
          </w:p>
        </w:tc>
        <w:tc>
          <w:tcPr>
            <w:tcW w:w="2692" w:type="dxa"/>
            <w:vAlign w:val="center"/>
          </w:tcPr>
          <w:p w14:paraId="60B182B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10.2 Értékelési módszerek</w:t>
            </w:r>
          </w:p>
        </w:tc>
        <w:tc>
          <w:tcPr>
            <w:tcW w:w="2978" w:type="dxa"/>
            <w:vAlign w:val="center"/>
          </w:tcPr>
          <w:p w14:paraId="14F0D42B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10.3 Aránya a végső jegyben</w:t>
            </w:r>
          </w:p>
        </w:tc>
      </w:tr>
      <w:tr w:rsidR="00B46C54" w14:paraId="21E01D18" w14:textId="77777777">
        <w:trPr>
          <w:trHeight w:val="937"/>
        </w:trPr>
        <w:tc>
          <w:tcPr>
            <w:tcW w:w="1985" w:type="dxa"/>
            <w:vMerge w:val="restart"/>
            <w:vAlign w:val="center"/>
          </w:tcPr>
          <w:p w14:paraId="325CB2E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10.4 Előadás</w:t>
            </w:r>
          </w:p>
        </w:tc>
        <w:tc>
          <w:tcPr>
            <w:tcW w:w="2837" w:type="dxa"/>
            <w:vAlign w:val="center"/>
          </w:tcPr>
          <w:p w14:paraId="2948601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Aktív részvétel az előadásokon a kötelező szakirodalom alapján történő felkészülésre alapozva; az alapfogalmak ismerete; részvétel az órai vitákban.</w:t>
            </w:r>
          </w:p>
        </w:tc>
        <w:tc>
          <w:tcPr>
            <w:tcW w:w="2692" w:type="dxa"/>
            <w:vMerge w:val="restart"/>
            <w:vAlign w:val="center"/>
          </w:tcPr>
          <w:p w14:paraId="589B758C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Vizsga</w:t>
            </w:r>
          </w:p>
        </w:tc>
        <w:tc>
          <w:tcPr>
            <w:tcW w:w="2978" w:type="dxa"/>
            <w:vMerge w:val="restart"/>
            <w:vAlign w:val="center"/>
          </w:tcPr>
          <w:p w14:paraId="5EF96D3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B46C54" w14:paraId="2940873A" w14:textId="77777777">
        <w:trPr>
          <w:trHeight w:val="937"/>
        </w:trPr>
        <w:tc>
          <w:tcPr>
            <w:tcW w:w="1985" w:type="dxa"/>
            <w:vMerge/>
            <w:vAlign w:val="center"/>
          </w:tcPr>
          <w:p w14:paraId="2DC8DF16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837" w:type="dxa"/>
            <w:vAlign w:val="center"/>
          </w:tcPr>
          <w:p w14:paraId="0E231FC5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Prezentáció / vitaindító egy előre meghatározott, a kurzus tematikájához kapcsolódó szöveg alapján</w:t>
            </w:r>
          </w:p>
        </w:tc>
        <w:tc>
          <w:tcPr>
            <w:tcW w:w="2692" w:type="dxa"/>
            <w:vMerge/>
            <w:vAlign w:val="center"/>
          </w:tcPr>
          <w:p w14:paraId="748674B2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Merge/>
            <w:vAlign w:val="center"/>
          </w:tcPr>
          <w:p w14:paraId="6537D057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508B1728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2B908BF2" w14:textId="77777777" w:rsidR="00B46C54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10.5 Szeminárium / </w:t>
            </w:r>
          </w:p>
          <w:p w14:paraId="63558E84" w14:textId="77777777" w:rsidR="00B46C54" w:rsidRDefault="00000000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</w:p>
        </w:tc>
        <w:tc>
          <w:tcPr>
            <w:tcW w:w="2837" w:type="dxa"/>
            <w:vMerge w:val="restart"/>
            <w:vAlign w:val="center"/>
          </w:tcPr>
          <w:p w14:paraId="6449425B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Szemináriumi részvétel, szövegismeret, aktív hozzászólás, reflexió, valamint egy leadott dolgozat értékelése</w:t>
            </w:r>
          </w:p>
        </w:tc>
        <w:tc>
          <w:tcPr>
            <w:tcW w:w="2692" w:type="dxa"/>
            <w:vAlign w:val="center"/>
          </w:tcPr>
          <w:p w14:paraId="6983862E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leadott dolgozat értékelése (50%)</w:t>
            </w:r>
          </w:p>
        </w:tc>
        <w:tc>
          <w:tcPr>
            <w:tcW w:w="2978" w:type="dxa"/>
            <w:vMerge w:val="restart"/>
            <w:vAlign w:val="center"/>
          </w:tcPr>
          <w:p w14:paraId="75BF8CD7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B46C54" w14:paraId="36FB0454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03042789" w14:textId="77777777" w:rsidR="00B46C54" w:rsidRDefault="00B46C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2837" w:type="dxa"/>
            <w:vMerge/>
            <w:vAlign w:val="center"/>
          </w:tcPr>
          <w:p w14:paraId="516D699E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92" w:type="dxa"/>
            <w:vAlign w:val="center"/>
          </w:tcPr>
          <w:p w14:paraId="6D79AABD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félévközi tevékenység értékelése (50%)</w:t>
            </w:r>
          </w:p>
        </w:tc>
        <w:tc>
          <w:tcPr>
            <w:tcW w:w="2978" w:type="dxa"/>
            <w:vMerge/>
            <w:vAlign w:val="center"/>
          </w:tcPr>
          <w:p w14:paraId="6F980B6B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46C54" w14:paraId="31531C21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56E1D91D" w14:textId="77777777" w:rsidR="00B46C54" w:rsidRDefault="00000000">
            <w:pPr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lastRenderedPageBreak/>
              <w:t xml:space="preserve"> A teljesítmény minimumkövetelményei</w:t>
            </w:r>
          </w:p>
        </w:tc>
      </w:tr>
      <w:tr w:rsidR="00B46C54" w14:paraId="504228A4" w14:textId="77777777">
        <w:trPr>
          <w:trHeight w:val="1252"/>
        </w:trPr>
        <w:tc>
          <w:tcPr>
            <w:tcW w:w="10492" w:type="dxa"/>
            <w:gridSpan w:val="4"/>
          </w:tcPr>
          <w:p w14:paraId="5C6AFBB9" w14:textId="77777777" w:rsidR="00B46C54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Rendszeres és aktív részvétel az előadásokon és szemináriumokon: a részvétel kötelező, mégpedig az előadások legalább 70%-án (minimum 10 alkalom) és a szemináriumok legalább 90%-án. A megvitatott szövegek ismerete és alapvető tájékozottság a vizsgált szerzők elméleti és esztétikai megközelítéseiben (a rendezői színház reformereitől a kortárs teoretikusokig), a színháztudományi alapfogalmak magabiztos használata és felismerése (például: rendezői színház, üres tér, szegény színház, posztdramatikus fordulat,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performativitás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autopoietikus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visszacsatolási hurok) a megtekintett előadásokból vett konkrét példák segítségével. Egy logikusan felépített prezentáció vagy vitaindító sikeres megtartása a szemináriumok/előadások keretében, a diszciplína kötelező bibliográfiájából választott szakszöveg alapján.</w:t>
            </w:r>
          </w:p>
          <w:p w14:paraId="0F47CAF7" w14:textId="77777777" w:rsidR="00B46C54" w:rsidRDefault="00B46C54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151DFD4A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A8AADF7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540AB67" w14:textId="77777777" w:rsidR="00B46C54" w:rsidRDefault="00000000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11. SDG ikonok </w:t>
      </w:r>
      <w:r>
        <w:rPr>
          <w:rFonts w:ascii="Cambria" w:eastAsia="Cambria" w:hAnsi="Cambria" w:cs="Cambria"/>
          <w:sz w:val="20"/>
          <w:szCs w:val="20"/>
        </w:rPr>
        <w:t xml:space="preserve">(Fenntartható fejlődési célok/ </w:t>
      </w:r>
      <w:proofErr w:type="spellStart"/>
      <w:r>
        <w:rPr>
          <w:rFonts w:ascii="Cambria" w:eastAsia="Cambria" w:hAnsi="Cambria" w:cs="Cambria"/>
          <w:sz w:val="20"/>
          <w:szCs w:val="20"/>
        </w:rPr>
        <w:t>Sustainable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Development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Goals</w:t>
      </w:r>
      <w:proofErr w:type="spellEnd"/>
      <w:r>
        <w:rPr>
          <w:rFonts w:ascii="Cambria" w:eastAsia="Cambria" w:hAnsi="Cambria" w:cs="Cambria"/>
          <w:sz w:val="20"/>
          <w:szCs w:val="20"/>
        </w:rPr>
        <w:t>)</w:t>
      </w:r>
      <w:r>
        <w:rPr>
          <w:rFonts w:ascii="Cambria" w:eastAsia="Cambria" w:hAnsi="Cambria" w:cs="Cambria"/>
          <w:sz w:val="20"/>
          <w:szCs w:val="20"/>
          <w:vertAlign w:val="superscript"/>
        </w:rPr>
        <w:footnoteReference w:id="1"/>
      </w:r>
    </w:p>
    <w:tbl>
      <w:tblPr>
        <w:tblStyle w:val="aa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  <w:gridCol w:w="9326"/>
      </w:tblGrid>
      <w:tr w:rsidR="00B46C54" w14:paraId="16010E1D" w14:textId="77777777">
        <w:trPr>
          <w:trHeight w:val="1037"/>
        </w:trPr>
        <w:tc>
          <w:tcPr>
            <w:tcW w:w="1165" w:type="dxa"/>
            <w:vAlign w:val="center"/>
          </w:tcPr>
          <w:p w14:paraId="4CFC83FB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5FF1045B" wp14:editId="3C40F6AB">
                  <wp:simplePos x="0" y="0"/>
                  <wp:positionH relativeFrom="column">
                    <wp:posOffset>13971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26" w:type="dxa"/>
            <w:vAlign w:val="center"/>
          </w:tcPr>
          <w:p w14:paraId="0E600DE0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Nem alkalmazható</w:t>
            </w:r>
          </w:p>
        </w:tc>
      </w:tr>
    </w:tbl>
    <w:p w14:paraId="418729CE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95B914F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48E27CDC" w14:textId="77777777" w:rsidR="00B46C54" w:rsidRDefault="00B46C54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tbl>
      <w:tblPr>
        <w:tblStyle w:val="ab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B46C54" w14:paraId="36B31E8F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33DCD2D3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Kitöltés időpontja:</w:t>
            </w:r>
          </w:p>
          <w:p w14:paraId="3990A665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  <w:p w14:paraId="7D4C3DF0" w14:textId="77777777" w:rsidR="00B46C54" w:rsidRDefault="00B46C54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70F12ACD" w14:textId="77777777" w:rsidR="00B46C54" w:rsidRDefault="00B46C54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  <w:p w14:paraId="6F03FC2C" w14:textId="77777777" w:rsidR="00B46C54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Előadás felelőse:</w:t>
            </w:r>
          </w:p>
          <w:p w14:paraId="06EE0E03" w14:textId="77777777" w:rsidR="00B46C54" w:rsidRDefault="00000000">
            <w:pPr>
              <w:spacing w:after="240"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</w:t>
            </w:r>
          </w:p>
        </w:tc>
        <w:tc>
          <w:tcPr>
            <w:tcW w:w="3969" w:type="dxa"/>
            <w:vAlign w:val="center"/>
          </w:tcPr>
          <w:p w14:paraId="759C3D76" w14:textId="77777777" w:rsidR="00B46C54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Szeminárium felelőse:</w:t>
            </w:r>
          </w:p>
          <w:p w14:paraId="05EED6CD" w14:textId="77777777" w:rsidR="00B46C54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</w:t>
            </w:r>
          </w:p>
        </w:tc>
      </w:tr>
      <w:tr w:rsidR="00B46C54" w14:paraId="6EDA72FF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10A8349C" w14:textId="77777777" w:rsidR="00B46C54" w:rsidRDefault="00B46C54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FF7044A" w14:textId="77777777" w:rsidR="00B46C54" w:rsidRDefault="00B46C54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626C4686" w14:textId="77777777" w:rsidR="00B46C54" w:rsidRDefault="00B46C54">
            <w:pPr>
              <w:rPr>
                <w:rFonts w:ascii="Cambria" w:eastAsia="Cambria" w:hAnsi="Cambria" w:cs="Cambria"/>
              </w:rPr>
            </w:pPr>
          </w:p>
        </w:tc>
      </w:tr>
      <w:tr w:rsidR="00B46C54" w14:paraId="5F501049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4D7A8531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Az intézeti jóváhagyás dátuma:</w:t>
            </w:r>
          </w:p>
          <w:p w14:paraId="705479A5" w14:textId="77777777" w:rsidR="00B46C54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73CBAEC4" w14:textId="77777777" w:rsidR="00B46C54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Intézetigazgató:</w:t>
            </w:r>
          </w:p>
          <w:p w14:paraId="67FC90E8" w14:textId="77777777" w:rsidR="00B46C54" w:rsidRDefault="0000000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....................</w:t>
            </w:r>
          </w:p>
        </w:tc>
      </w:tr>
    </w:tbl>
    <w:p w14:paraId="1D8DB1F7" w14:textId="77777777" w:rsidR="00B46C54" w:rsidRDefault="00B46C54">
      <w:pPr>
        <w:spacing w:after="0" w:line="240" w:lineRule="auto"/>
        <w:rPr>
          <w:rFonts w:ascii="Times New Roman" w:eastAsia="Times New Roman" w:hAnsi="Times New Roman" w:cs="Times New Roman"/>
          <w:sz w:val="22"/>
          <w:szCs w:val="22"/>
        </w:rPr>
      </w:pPr>
    </w:p>
    <w:sectPr w:rsidR="00B46C54">
      <w:pgSz w:w="11907" w:h="16840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3F502" w14:textId="77777777" w:rsidR="004657CE" w:rsidRDefault="004657CE">
      <w:pPr>
        <w:spacing w:after="0" w:line="240" w:lineRule="auto"/>
      </w:pPr>
      <w:r>
        <w:separator/>
      </w:r>
    </w:p>
  </w:endnote>
  <w:endnote w:type="continuationSeparator" w:id="0">
    <w:p w14:paraId="233CADED" w14:textId="77777777" w:rsidR="004657CE" w:rsidRDefault="004657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2F89B1A-384D-4F94-A8A2-F0C068E0B026}"/>
    <w:embedItalic r:id="rId2" w:fontKey="{BE69C9A5-6919-4F4C-94F1-481E89E97511}"/>
  </w:font>
  <w:font w:name="Play">
    <w:charset w:val="00"/>
    <w:family w:val="auto"/>
    <w:pitch w:val="default"/>
    <w:embedRegular r:id="rId3" w:fontKey="{46E951F9-4E52-4F6F-8B25-28F75CAC5D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04F57A2-D017-4842-B79C-37CC1DE8BB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FF6E98E-C4D3-43C4-8656-354456A93AD4}"/>
    <w:embedBold r:id="rId6" w:fontKey="{B3E57692-0EBD-4FF2-80E3-E2B741C621E4}"/>
    <w:embedItalic r:id="rId7" w:fontKey="{CCFFB6ED-61B1-4875-A6A2-60E5C7C76E8D}"/>
    <w:embedBoldItalic r:id="rId8" w:fontKey="{068B716D-6ED7-403C-9AED-043D87E99E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22CB0A" w14:textId="77777777" w:rsidR="004657CE" w:rsidRDefault="004657CE">
      <w:pPr>
        <w:spacing w:after="0" w:line="240" w:lineRule="auto"/>
      </w:pPr>
      <w:r>
        <w:separator/>
      </w:r>
    </w:p>
  </w:footnote>
  <w:footnote w:type="continuationSeparator" w:id="0">
    <w:p w14:paraId="567705C0" w14:textId="77777777" w:rsidR="004657CE" w:rsidRDefault="004657CE">
      <w:pPr>
        <w:spacing w:after="0" w:line="240" w:lineRule="auto"/>
      </w:pPr>
      <w:r>
        <w:continuationSeparator/>
      </w:r>
    </w:p>
  </w:footnote>
  <w:footnote w:id="1">
    <w:p w14:paraId="5550B905" w14:textId="77777777" w:rsidR="00B46C5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Csak azokat az ikonokat tartsa meg, amelyek az </w:t>
      </w:r>
      <w:hyperlink r:id="rId1">
        <w:r>
          <w:rPr>
            <w:rFonts w:ascii="Cambria" w:eastAsia="Cambria" w:hAnsi="Cambria" w:cs="Cambria"/>
            <w:i/>
            <w:iCs/>
            <w:color w:val="467886"/>
            <w:sz w:val="20"/>
            <w:szCs w:val="20"/>
            <w:u w:val="single"/>
          </w:rPr>
          <w:t>SDG-ikonoknak az egyetemi folyamatban</w:t>
        </w:r>
      </w:hyperlink>
      <w:r>
        <w:rPr>
          <w:rFonts w:ascii="Cambria" w:eastAsia="Cambria" w:hAnsi="Cambria" w:cs="Cambria"/>
          <w:color w:val="000000"/>
          <w:sz w:val="20"/>
          <w:szCs w:val="20"/>
        </w:rPr>
        <w:t xml:space="preserve"> történő alkalmazására vonatkozó eljárás szerint illeszkednek az adott tantárgyhoz, és törölje a többit, beleértve a fenntartható fejlődés általános ikonját is – amennyiben nem alkalmazható. Ha egyik ikon sem illik a tantárgyra, törölje az összeset, és írja rá, hogy „</w:t>
      </w:r>
      <w:r>
        <w:rPr>
          <w:rFonts w:ascii="Cambria" w:eastAsia="Cambria" w:hAnsi="Cambria" w:cs="Cambria"/>
          <w:i/>
          <w:iCs/>
          <w:color w:val="000000"/>
          <w:sz w:val="20"/>
          <w:szCs w:val="20"/>
        </w:rPr>
        <w:t>Nem alkalmazható</w:t>
      </w:r>
      <w:r>
        <w:rPr>
          <w:rFonts w:ascii="Cambria" w:eastAsia="Cambria" w:hAnsi="Cambria" w:cs="Cambria"/>
          <w:color w:val="000000"/>
          <w:sz w:val="20"/>
          <w:szCs w:val="20"/>
        </w:rPr>
        <w:t>”.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F00A30"/>
    <w:multiLevelType w:val="multilevel"/>
    <w:tmpl w:val="1A08003C"/>
    <w:lvl w:ilvl="0">
      <w:start w:val="10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num w:numId="1" w16cid:durableId="20314935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C54"/>
    <w:rsid w:val="001C286F"/>
    <w:rsid w:val="004657CE"/>
    <w:rsid w:val="00A2355F"/>
    <w:rsid w:val="00B46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CF17E9"/>
  <w15:docId w15:val="{4E3BE762-B7BA-421F-AC05-A1B5D2CB6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hu" w:eastAsia="hu-H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Alcm">
    <w:name w:val="Subtitle"/>
    <w:basedOn w:val="Norml"/>
    <w:next w:val="Norm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green.ubbcluj.ro/procedura-de-aplicare-a-etichetelor-odd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93FC52EB9A0744AD06DA0F0E4DFAA8" ma:contentTypeVersion="11" ma:contentTypeDescription="Create a new document." ma:contentTypeScope="" ma:versionID="1ac5b6cc6b625909ff7764fcba1aae59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b1a6ea5373d8f1509704c9555d41a5a0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JafT75W3bueUmlf0jUMeXosgXA==">CgMxLjA4AHIhMWVoejc4Z254QVZ3ZHUwTF9PNkppU1RKTEVpeEwwZS1K</go:docsCustomData>
</go:gDocsCustomXmlDataStorage>
</file>

<file path=customXml/itemProps1.xml><?xml version="1.0" encoding="utf-8"?>
<ds:datastoreItem xmlns:ds="http://schemas.openxmlformats.org/officeDocument/2006/customXml" ds:itemID="{0B94EC67-F1FB-4CB5-90DE-D7E19CF20986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customXml/itemProps2.xml><?xml version="1.0" encoding="utf-8"?>
<ds:datastoreItem xmlns:ds="http://schemas.openxmlformats.org/officeDocument/2006/customXml" ds:itemID="{F3459FE9-581C-47AE-B4E6-04CFC28006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95456D5-6D38-482C-BBE1-976920ED667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1597</Words>
  <Characters>11021</Characters>
  <Application>Microsoft Office Word</Application>
  <DocSecurity>0</DocSecurity>
  <Lines>91</Lines>
  <Paragraphs>25</Paragraphs>
  <ScaleCrop>false</ScaleCrop>
  <Company/>
  <LinksUpToDate>false</LinksUpToDate>
  <CharactersWithSpaces>12593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KRISZTA KEDVES</cp:lastModifiedBy>
  <cp:revision>2</cp:revision>
  <dcterms:created xsi:type="dcterms:W3CDTF">2026-06-06T10:21:00Z</dcterms:created>
  <dcterms:modified xsi:type="dcterms:W3CDTF">2026-06-06T10:22:00Z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  <property fmtid="{D5CDD505-2E9C-101B-9397-08002B2CF9AE}" pid="3" name="MediaServiceImageTags">
    <vt:lpwstr>MediaServiceImageTags</vt:lpwstr>
  </property>
</Properties>
</file>